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EF86C"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</w:p>
    <w:p w14:paraId="56CACBB9"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23EBDB2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慢性肾脏病一体化管理赋能项目管理办法</w:t>
      </w:r>
    </w:p>
    <w:p w14:paraId="395ECB4B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（试行）</w:t>
      </w:r>
    </w:p>
    <w:p w14:paraId="282811CD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为规范和管理慢性肾脏病一体化管理赋能项目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（以下简称“项目”）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组织实施，我中心根据工作实际，制定《慢性肾脏病一体化管理赋能项目管理办法》（以下简称《管理办法》）。</w:t>
      </w:r>
    </w:p>
    <w:p w14:paraId="318A12C9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设置组长一名，副组长六名，组员若干名，负责协调推进项目实施、定期组织专家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进行考核评估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评选典型案例等。</w:t>
      </w:r>
    </w:p>
    <w:p w14:paraId="4AA83758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本项目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专家组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成员由中心颁发聘书，其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职责包括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了解基层医院慢性肾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病防治能力提升需求，制定培训内容，为项目参与医院提供对口指导，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信息化技术指导，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制定考核标准，评估项目进展，评选标杆医院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可以成果转化等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2A31249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第三条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加入项目的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医疗机构，提交资料包括：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上级指导医院信息填报表和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基层医疗机构信息填报表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（详见附件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和4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），提交的文件均需加盖医疗机构公章。</w:t>
      </w:r>
    </w:p>
    <w:p w14:paraId="1D0C2B30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首次申请通过后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的基层医疗机构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颁发证书；后期考核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达标后</w:t>
      </w:r>
      <w:bookmarkStart w:id="0" w:name="_Hlk496014576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可参与评选为“慢性肾脏病管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理示范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颁发证书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；同时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纳入中心慢病管理典型案例库，作为典型案例推广。</w:t>
      </w:r>
    </w:p>
    <w:p w14:paraId="7E848089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开展的培训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，应遵守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要求，按照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，规范、有效地进行。</w:t>
      </w:r>
    </w:p>
    <w:p w14:paraId="4E85F29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不少于3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个基层医疗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，帮扶对象可成为试点应用推广单位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190D3F9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基层医疗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应按照相关要求，提供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符合标准的培训场地及硬件设备。</w:t>
      </w:r>
    </w:p>
    <w:p w14:paraId="6ED82614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培训可采用“线上+线下”模式进行，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12F7BC5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未经中心授权或批准，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专家组成员及相关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医疗机构不得以项目培训名义开展与本项目培训无关的活动。</w:t>
      </w:r>
    </w:p>
    <w:p w14:paraId="73022FFE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对在申报过程中弄虚作假的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个人及医疗机构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，发现后立即终止评审或取消培训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及试点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资格，5年内不再受理其申请。</w:t>
      </w:r>
    </w:p>
    <w:p w14:paraId="70524DC5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参与项目的专家组成员及医疗机构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应保证本单位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慢性肾脏病一体化管理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工作的安全性和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范性，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协助建设和完善项目涉及的相关软硬件系统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凡不按照标准实施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慢性肾脏病一体化管理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活动、组织管理混乱、不能保证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，给予通报批评并限期整改。情节特别严重或未及时改正的，取消其资格，并在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项目官网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www.jiankangqg.org.cn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）进行公示。</w:t>
      </w:r>
    </w:p>
    <w:p w14:paraId="08956B4E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第十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专家组成员经过资格认定后，信息录入项目师资库，由中心进行统一管理。</w:t>
      </w:r>
    </w:p>
    <w:p w14:paraId="2EF53DD2">
      <w:pPr>
        <w:pStyle w:val="4"/>
        <w:ind w:firstLine="640"/>
        <w:jc w:val="both"/>
        <w:rPr>
          <w:rFonts w:hint="default" w:ascii="Times New Roman" w:hAnsi="Times New Roman" w:eastAsia="楷体" w:cs="Times New Roman"/>
        </w:rPr>
      </w:pPr>
      <w:bookmarkStart w:id="1" w:name="_Hlk497838500"/>
      <w:r>
        <w:rPr>
          <w:rFonts w:hint="default" w:ascii="Times New Roman" w:hAnsi="Times New Roman" w:eastAsia="楷体" w:cs="Times New Roman"/>
        </w:rPr>
        <w:t>第十</w:t>
      </w:r>
      <w:r>
        <w:rPr>
          <w:rFonts w:hint="eastAsia" w:ascii="Times New Roman" w:hAnsi="Times New Roman" w:eastAsia="楷体" w:cs="Times New Roman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</w:rPr>
        <w:t>条</w:t>
      </w:r>
      <w:bookmarkEnd w:id="1"/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bCs/>
          <w:lang w:val="en-US" w:eastAsia="zh-CN"/>
        </w:rPr>
        <w:t>基层医疗</w:t>
      </w:r>
      <w:r>
        <w:rPr>
          <w:rFonts w:hint="eastAsia" w:ascii="Times New Roman" w:hAnsi="Times New Roman" w:eastAsia="仿宋_GB2312" w:cs="Times New Roman"/>
          <w:bCs/>
          <w:lang w:val="en-US" w:eastAsia="zh-CN"/>
        </w:rPr>
        <w:t>卫生</w:t>
      </w:r>
      <w:r>
        <w:rPr>
          <w:rFonts w:hint="default" w:ascii="Times New Roman" w:hAnsi="Times New Roman" w:eastAsia="仿宋_GB2312" w:cs="Times New Roman"/>
          <w:bCs/>
          <w:lang w:val="en-US" w:eastAsia="zh-CN"/>
        </w:rPr>
        <w:t>机构</w:t>
      </w:r>
      <w:r>
        <w:rPr>
          <w:rFonts w:hint="eastAsia" w:ascii="Times New Roman" w:hAnsi="Times New Roman" w:eastAsia="仿宋_GB2312" w:cs="Times New Roman"/>
          <w:bCs/>
          <w:lang w:val="en-US" w:eastAsia="zh-CN"/>
        </w:rPr>
        <w:t>的患者</w:t>
      </w:r>
      <w:r>
        <w:rPr>
          <w:rFonts w:hint="default" w:ascii="Times New Roman" w:hAnsi="Times New Roman" w:eastAsia="仿宋_GB2312" w:cs="Times New Roman"/>
          <w:bCs/>
        </w:rPr>
        <w:t>管理工作</w:t>
      </w:r>
      <w:r>
        <w:rPr>
          <w:rFonts w:hint="eastAsia" w:ascii="Times New Roman" w:hAnsi="Times New Roman" w:eastAsia="仿宋_GB2312" w:cs="Times New Roman"/>
          <w:bCs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bCs/>
        </w:rPr>
        <w:t>由本中心委托</w:t>
      </w:r>
      <w:r>
        <w:rPr>
          <w:rFonts w:hint="eastAsia" w:ascii="Times New Roman" w:hAnsi="Times New Roman" w:eastAsia="仿宋_GB2312" w:cs="Times New Roman"/>
          <w:bCs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lang w:val="en-US" w:eastAsia="zh-CN"/>
        </w:rPr>
        <w:t>项目执行方</w:t>
      </w:r>
      <w:r>
        <w:rPr>
          <w:rFonts w:hint="eastAsia" w:ascii="Times New Roman" w:hAnsi="Times New Roman" w:eastAsia="仿宋_GB2312" w:cs="Times New Roman"/>
          <w:bCs/>
          <w:lang w:val="en-US" w:eastAsia="zh-CN"/>
        </w:rPr>
        <w:t>协助完成</w:t>
      </w:r>
      <w:r>
        <w:rPr>
          <w:rFonts w:hint="default" w:ascii="Times New Roman" w:hAnsi="Times New Roman" w:eastAsia="仿宋_GB2312" w:cs="Times New Roman"/>
          <w:kern w:val="0"/>
        </w:rPr>
        <w:t>。</w:t>
      </w:r>
    </w:p>
    <w:p w14:paraId="6D491430">
      <w:pPr>
        <w:pStyle w:val="4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CN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zh-TW" w:eastAsia="zh-CN" w:bidi="ar-SA"/>
        </w:rPr>
        <w:t>第十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zh-TW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 xml:space="preserve"> 接到项目审核通知后，三个月内没有积极开展工作，我中心将对合作机构发出整改通知书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CN"/>
        </w:rPr>
        <w:t>。</w:t>
      </w:r>
    </w:p>
    <w:p w14:paraId="27FC6AF5">
      <w:pPr>
        <w:pStyle w:val="4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zh-TW" w:eastAsia="zh-CN" w:bidi="ar-SA"/>
        </w:rPr>
        <w:t>第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zh-TW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 xml:space="preserve"> 项目实施过程中有下列情形之一者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>我中心将终止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en-US" w:eastAsia="zh-CN"/>
        </w:rPr>
        <w:t>与其合作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>项目并在中心官方网站公布：</w:t>
      </w:r>
    </w:p>
    <w:p w14:paraId="4E3E54F5">
      <w:pPr>
        <w:pStyle w:val="4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>（一）收到整改通知书并在一个月内未进行改正的；</w:t>
      </w:r>
    </w:p>
    <w:p w14:paraId="7DA17E78">
      <w:pPr>
        <w:pStyle w:val="4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>（二）未经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>办公室批准以任何方式转让或授权给第三方开展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>的；</w:t>
      </w:r>
    </w:p>
    <w:p w14:paraId="00A64057">
      <w:pPr>
        <w:pStyle w:val="4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>（三）未经项目办公室审核自行宣传，宣传内容与事实</w:t>
      </w:r>
    </w:p>
    <w:p w14:paraId="2647199E">
      <w:pPr>
        <w:pStyle w:val="4"/>
        <w:ind w:firstLine="0" w:firstLineChars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>严重不符，造成恶劣影响的；</w:t>
      </w:r>
    </w:p>
    <w:p w14:paraId="5B0598D5">
      <w:pPr>
        <w:pStyle w:val="4"/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>发生严重违规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  <w:t>违纪和侵权行为的。</w:t>
      </w:r>
    </w:p>
    <w:p w14:paraId="43CED3B9">
      <w:pPr>
        <w:pStyle w:val="4"/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</w:pPr>
    </w:p>
    <w:p w14:paraId="03ED5577">
      <w:pPr>
        <w:pStyle w:val="4"/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zh-TW"/>
        </w:rPr>
      </w:pPr>
    </w:p>
    <w:p w14:paraId="0FF3612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F548BB"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3D4AEA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1443A"/>
    <w:multiLevelType w:val="singleLevel"/>
    <w:tmpl w:val="FB11443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EAFF"/>
    <w:rsid w:val="7A210CC8"/>
    <w:rsid w:val="7FFB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5"/>
    <w:autoRedefine/>
    <w:qFormat/>
    <w:uiPriority w:val="0"/>
    <w:pPr>
      <w:adjustRightInd w:val="0"/>
      <w:snapToGrid w:val="0"/>
      <w:spacing w:line="560" w:lineRule="exact"/>
      <w:ind w:firstLine="200" w:firstLineChars="200"/>
      <w:jc w:val="left"/>
    </w:pPr>
    <w:rPr>
      <w:rFonts w:ascii="仿宋" w:hAnsi="仿宋" w:eastAsia="仿宋" w:cs="宋体"/>
      <w:sz w:val="32"/>
      <w:szCs w:val="32"/>
      <w:lang w:val="zh-TW"/>
    </w:rPr>
  </w:style>
  <w:style w:type="paragraph" w:customStyle="1" w:styleId="5">
    <w:name w:val="正常1"/>
    <w:autoRedefine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</Words>
  <Characters>1125</Characters>
  <Lines>0</Lines>
  <Paragraphs>0</Paragraphs>
  <TotalTime>0</TotalTime>
  <ScaleCrop>false</ScaleCrop>
  <LinksUpToDate>false</LinksUpToDate>
  <CharactersWithSpaces>1140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2024-07-10T10:43:00Z</dcterms:created>
  <dc:creator>winona</dc:creator>
  <cp:lastModifiedBy>Dainel</cp:lastModifiedBy>
  <dcterms:modified xsi:type="dcterms:W3CDTF">2024-07-11T02:05:45Z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5534DCD0754E4FF39CAD15DE0A2ED19A_13</vt:lpwstr>
  </property>
</Properties>
</file>