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CKD筛检标准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筛查对象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基层医疗机构门诊患者如合并以下情况：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①高血压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仿宋" w:hAnsi="仿宋" w:eastAsia="仿宋" w:cs="仿宋"/>
          <w:sz w:val="28"/>
          <w:szCs w:val="28"/>
        </w:rPr>
        <w:t>糖尿病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ascii="仿宋" w:hAnsi="仿宋" w:eastAsia="仿宋" w:cs="仿宋"/>
          <w:sz w:val="28"/>
          <w:szCs w:val="28"/>
        </w:rPr>
        <w:t>心</w:t>
      </w:r>
      <w:r>
        <w:rPr>
          <w:rFonts w:hint="eastAsia" w:ascii="仿宋" w:hAnsi="仿宋" w:eastAsia="仿宋" w:cs="仿宋"/>
          <w:sz w:val="28"/>
          <w:szCs w:val="28"/>
        </w:rPr>
        <w:t>脑</w:t>
      </w:r>
      <w:r>
        <w:rPr>
          <w:rFonts w:ascii="仿宋" w:hAnsi="仿宋" w:eastAsia="仿宋" w:cs="仿宋"/>
          <w:sz w:val="28"/>
          <w:szCs w:val="28"/>
        </w:rPr>
        <w:t>血管疾病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</w:t>
      </w:r>
      <w:r>
        <w:rPr>
          <w:rFonts w:ascii="仿宋" w:hAnsi="仿宋" w:eastAsia="仿宋" w:cs="仿宋"/>
          <w:sz w:val="28"/>
          <w:szCs w:val="28"/>
        </w:rPr>
        <w:t>肾脏疾病家族史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</w:t>
      </w:r>
      <w:r>
        <w:rPr>
          <w:rFonts w:ascii="仿宋" w:hAnsi="仿宋" w:eastAsia="仿宋" w:cs="仿宋"/>
          <w:sz w:val="28"/>
          <w:szCs w:val="28"/>
        </w:rPr>
        <w:t>老年人（60岁以上）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</w:t>
      </w:r>
      <w:r>
        <w:rPr>
          <w:rFonts w:ascii="仿宋" w:hAnsi="仿宋" w:eastAsia="仿宋" w:cs="仿宋"/>
          <w:sz w:val="28"/>
          <w:szCs w:val="28"/>
        </w:rPr>
        <w:t>肥胖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⑦合并恶性肿瘤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⑧合并</w:t>
      </w:r>
      <w:r>
        <w:rPr>
          <w:rFonts w:ascii="仿宋" w:hAnsi="仿宋" w:eastAsia="仿宋" w:cs="仿宋"/>
          <w:sz w:val="28"/>
          <w:szCs w:val="28"/>
        </w:rPr>
        <w:t>自身免疫性疾病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⑨</w:t>
      </w:r>
      <w:r>
        <w:rPr>
          <w:rFonts w:hint="default" w:ascii="仿宋" w:hAnsi="仿宋" w:eastAsia="仿宋" w:cs="仿宋"/>
          <w:sz w:val="28"/>
          <w:szCs w:val="28"/>
        </w:rPr>
        <w:t>高尿酸血症和痛风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⑩</w:t>
      </w:r>
      <w:r>
        <w:rPr>
          <w:rFonts w:hint="default" w:ascii="仿宋" w:hAnsi="仿宋" w:eastAsia="仿宋" w:cs="仿宋"/>
          <w:sz w:val="28"/>
          <w:szCs w:val="28"/>
        </w:rPr>
        <w:t>高脂血症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⑪</w:t>
      </w:r>
      <w:r>
        <w:rPr>
          <w:rFonts w:hint="default" w:ascii="仿宋" w:hAnsi="仿宋" w:eastAsia="仿宋" w:cs="仿宋"/>
          <w:sz w:val="28"/>
          <w:szCs w:val="28"/>
        </w:rPr>
        <w:t>心脏大血管手术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⑫</w:t>
      </w:r>
      <w:r>
        <w:rPr>
          <w:rFonts w:hint="default" w:ascii="仿宋" w:hAnsi="仿宋" w:eastAsia="仿宋" w:cs="仿宋"/>
          <w:sz w:val="28"/>
          <w:szCs w:val="28"/>
        </w:rPr>
        <w:t>贫血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筛查方法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①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筛查项目：</w:t>
      </w:r>
      <w:r>
        <w:rPr>
          <w:rFonts w:ascii="Times New Roman" w:hAnsi="Times New Roman" w:eastAsia="仿宋" w:cs="Times New Roman"/>
          <w:sz w:val="28"/>
          <w:szCs w:val="28"/>
        </w:rPr>
        <w:t>尿微量白蛋白与尿肌酐比值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ACR</w:t>
      </w:r>
      <w:r>
        <w:rPr>
          <w:rFonts w:hint="default" w:ascii="Times New Roman" w:hAnsi="Times New Roman" w:eastAsia="仿宋" w:cs="Times New Roman"/>
          <w:sz w:val="28"/>
          <w:szCs w:val="28"/>
        </w:rPr>
        <w:t>），尿常规，肾功能（</w:t>
      </w:r>
      <w:r>
        <w:rPr>
          <w:rFonts w:ascii="Times New Roman" w:hAnsi="Times New Roman" w:eastAsia="仿宋" w:cs="Times New Roman"/>
          <w:sz w:val="28"/>
          <w:szCs w:val="28"/>
        </w:rPr>
        <w:t>血肌酐，尿素，尿酸</w:t>
      </w:r>
      <w:r>
        <w:rPr>
          <w:rFonts w:hint="default" w:ascii="Times New Roman" w:hAnsi="Times New Roman" w:eastAsia="仿宋" w:cs="Times New Roman"/>
          <w:sz w:val="28"/>
          <w:szCs w:val="28"/>
        </w:rPr>
        <w:t>），泌尿系统超声（至少1次）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②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筛查频率</w:t>
      </w:r>
      <w:r>
        <w:rPr>
          <w:rFonts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</w:rPr>
        <w:t>第</w:t>
      </w:r>
      <w:r>
        <w:rPr>
          <w:rFonts w:ascii="Times New Roman" w:hAnsi="Times New Roman" w:eastAsia="仿宋" w:cs="Times New Roman"/>
          <w:sz w:val="28"/>
          <w:szCs w:val="28"/>
        </w:rPr>
        <w:t>一年2-4次，</w:t>
      </w:r>
      <w:r>
        <w:rPr>
          <w:rFonts w:hint="default" w:ascii="Times New Roman" w:hAnsi="Times New Roman" w:eastAsia="仿宋" w:cs="Times New Roman"/>
          <w:sz w:val="28"/>
          <w:szCs w:val="28"/>
        </w:rPr>
        <w:t>至少每6月一次</w:t>
      </w:r>
    </w:p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③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筛检阳性标准：</w:t>
      </w:r>
    </w:p>
    <w:p>
      <w:pPr>
        <w:numPr>
          <w:ilvl w:val="0"/>
          <w:numId w:val="2"/>
        </w:num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尿ACR&gt;</w:t>
      </w:r>
      <w:r>
        <w:rPr>
          <w:rFonts w:ascii="Times New Roman" w:hAnsi="Times New Roman" w:eastAsia="仿宋" w:cs="Times New Roman"/>
          <w:sz w:val="28"/>
          <w:szCs w:val="28"/>
        </w:rPr>
        <w:t>30mg/g</w:t>
      </w:r>
    </w:p>
    <w:p>
      <w:pPr>
        <w:numPr>
          <w:ilvl w:val="0"/>
          <w:numId w:val="2"/>
        </w:num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尿RBC&gt;3/HP（或尿RBC&gt;2</w:t>
      </w:r>
      <w:r>
        <w:rPr>
          <w:rFonts w:ascii="Times New Roman" w:hAnsi="Times New Roman" w:eastAsia="仿宋" w:cs="Times New Roman"/>
          <w:sz w:val="28"/>
          <w:szCs w:val="28"/>
        </w:rPr>
        <w:t>5/</w:t>
      </w:r>
      <w:r>
        <w:rPr>
          <w:rFonts w:ascii="Times New Roman" w:hAnsi="Times New Roman" w:eastAsia="仿宋" w:cs="Times New Roman"/>
          <w:sz w:val="28"/>
          <w:szCs w:val="28"/>
        </w:rPr>
        <w:sym w:font="Symbol" w:char="F06D"/>
      </w:r>
      <w:r>
        <w:rPr>
          <w:rFonts w:ascii="Times New Roman" w:hAnsi="Times New Roman" w:eastAsia="仿宋" w:cs="Times New Roman"/>
          <w:sz w:val="28"/>
          <w:szCs w:val="28"/>
        </w:rPr>
        <w:t>l）</w:t>
      </w:r>
    </w:p>
    <w:p>
      <w:pPr>
        <w:numPr>
          <w:ilvl w:val="0"/>
          <w:numId w:val="2"/>
        </w:num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eGFR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&lt;</w:t>
      </w:r>
      <w:r>
        <w:rPr>
          <w:rFonts w:hint="default" w:ascii="Times New Roman" w:hAnsi="Times New Roman" w:eastAsia="仿宋" w:cs="Times New Roman"/>
          <w:sz w:val="28"/>
          <w:szCs w:val="28"/>
        </w:rPr>
        <w:t>60ml/min</w:t>
      </w:r>
    </w:p>
    <w:p>
      <w:pPr>
        <w:numPr>
          <w:ilvl w:val="0"/>
          <w:numId w:val="2"/>
        </w:num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影像学提示肾脏体积缩小，或肾皮质回声增强，或皮质变薄或皮髓结构不清等</w:t>
      </w:r>
    </w:p>
    <w:p>
      <w:pPr>
        <w:numPr>
          <w:ilvl w:val="0"/>
          <w:numId w:val="2"/>
        </w:num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孤立肾、肾部分切除或单侧切除</w:t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br w:type="page"/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CKD或高度疑似CKD患者的随访和管理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每个季度随访指标：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①血生化：肾功能（</w:t>
      </w:r>
      <w:r>
        <w:rPr>
          <w:rFonts w:ascii="仿宋" w:hAnsi="仿宋" w:eastAsia="仿宋" w:cs="仿宋"/>
          <w:sz w:val="28"/>
          <w:szCs w:val="28"/>
        </w:rPr>
        <w:t>血肌酐，尿素，尿酸</w:t>
      </w:r>
      <w:r>
        <w:rPr>
          <w:rFonts w:hint="eastAsia" w:ascii="仿宋" w:hAnsi="仿宋" w:eastAsia="仿宋" w:cs="仿宋"/>
          <w:sz w:val="28"/>
          <w:szCs w:val="28"/>
        </w:rPr>
        <w:t>），白蛋白、电解质，血钙</w:t>
      </w:r>
      <w:r>
        <w:rPr>
          <w:rFonts w:ascii="Times New Roman" w:hAnsi="Times New Roman" w:eastAsia="仿宋" w:cs="Times New Roman"/>
          <w:sz w:val="28"/>
          <w:szCs w:val="28"/>
        </w:rPr>
        <w:t>磷，</w:t>
      </w:r>
      <w:r>
        <w:rPr>
          <w:rFonts w:hint="default" w:ascii="Times New Roman" w:hAnsi="Times New Roman" w:eastAsia="仿宋" w:cs="Times New Roman"/>
          <w:sz w:val="28"/>
          <w:szCs w:val="28"/>
        </w:rPr>
        <w:t>i</w:t>
      </w:r>
      <w:r>
        <w:rPr>
          <w:rFonts w:ascii="Times New Roman" w:hAnsi="Times New Roman" w:eastAsia="仿宋" w:cs="Times New Roman"/>
          <w:sz w:val="28"/>
          <w:szCs w:val="28"/>
        </w:rPr>
        <w:t>PTH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仿宋" w:hAnsi="仿宋" w:eastAsia="仿宋" w:cs="仿宋"/>
          <w:sz w:val="28"/>
          <w:szCs w:val="28"/>
        </w:rPr>
        <w:t>血常规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ascii="仿宋" w:hAnsi="仿宋" w:eastAsia="仿宋" w:cs="仿宋"/>
          <w:sz w:val="28"/>
          <w:szCs w:val="28"/>
        </w:rPr>
        <w:t>尿常规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ascii="Times New Roman" w:hAnsi="Times New Roman" w:eastAsia="仿宋" w:cs="Times New Roman"/>
          <w:sz w:val="28"/>
          <w:szCs w:val="28"/>
        </w:rPr>
        <w:t>尿ACR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微软雅黑" w:cs="Times New Roman"/>
          <w:sz w:val="28"/>
          <w:szCs w:val="28"/>
        </w:rPr>
        <w:t>④</w:t>
      </w:r>
      <w:r>
        <w:rPr>
          <w:rFonts w:hint="eastAsia" w:ascii="Times New Roman" w:hAnsi="Times New Roman" w:eastAsia="微软雅黑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</w:rPr>
        <w:t>24小时尿蛋白定量和钠、氯</w:t>
      </w:r>
    </w:p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⑤</w:t>
      </w:r>
      <w:r>
        <w:rPr>
          <w:rFonts w:ascii="Times New Roman" w:hAnsi="Times New Roman" w:eastAsia="仿宋" w:cs="Times New Roman"/>
          <w:sz w:val="28"/>
          <w:szCs w:val="28"/>
        </w:rPr>
        <w:t>HbA1C%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</w:rPr>
        <w:t>糖尿病患者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⑥血压评估</w:t>
      </w:r>
    </w:p>
    <w:p>
      <w:pPr>
        <w:numPr>
          <w:ilvl w:val="0"/>
          <w:numId w:val="3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每年1次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随访项目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①泌尿系统</w:t>
      </w:r>
      <w:r>
        <w:rPr>
          <w:rFonts w:ascii="仿宋" w:hAnsi="仿宋" w:eastAsia="仿宋" w:cs="仿宋"/>
          <w:sz w:val="28"/>
          <w:szCs w:val="28"/>
        </w:rPr>
        <w:t>B超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②血脂、空腹血糖（非确诊糖尿病）、肝功能（TB/CB ALT/AST）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br w:type="page"/>
      </w:r>
    </w:p>
    <w:p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患者双向转诊及管理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建立双向转诊制度，严重者可转诊至上级医院就诊，</w:t>
      </w:r>
      <w:r>
        <w:rPr>
          <w:rFonts w:hint="eastAsia" w:ascii="仿宋" w:hAnsi="仿宋" w:eastAsia="仿宋" w:cs="仿宋"/>
          <w:sz w:val="28"/>
          <w:szCs w:val="28"/>
        </w:rPr>
        <w:t>病情稳定后</w:t>
      </w:r>
      <w:r>
        <w:rPr>
          <w:rFonts w:ascii="仿宋" w:hAnsi="仿宋" w:eastAsia="仿宋" w:cs="仿宋"/>
          <w:sz w:val="28"/>
          <w:szCs w:val="28"/>
        </w:rPr>
        <w:t>转向下级医院继续监测。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一、社区向上级医院转诊CKD患者标准（“上转诊”标准）</w:t>
      </w:r>
      <w:bookmarkStart w:id="0" w:name="_GoBack"/>
    </w:p>
    <w:bookmarkEnd w:id="0"/>
    <w:p>
      <w:pPr>
        <w:numPr>
          <w:ilvl w:val="0"/>
          <w:numId w:val="4"/>
        </w:num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</w:t>
      </w:r>
      <w:r>
        <w:rPr>
          <w:rFonts w:ascii="Times New Roman" w:hAnsi="Times New Roman" w:eastAsia="仿宋" w:cs="Times New Roman"/>
          <w:sz w:val="28"/>
          <w:szCs w:val="28"/>
        </w:rPr>
        <w:t>诊CKD患者，凡符合下列情况之一者：</w:t>
      </w:r>
    </w:p>
    <w:p>
      <w:pPr>
        <w:pStyle w:val="9"/>
        <w:numPr>
          <w:ilvl w:val="-1"/>
          <w:numId w:val="0"/>
        </w:numPr>
        <w:ind w:left="560" w:firstLine="0"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</w:t>
      </w:r>
      <w:r>
        <w:rPr>
          <w:rFonts w:ascii="Times New Roman" w:hAnsi="Times New Roman" w:eastAsia="仿宋" w:cs="Times New Roman"/>
          <w:sz w:val="28"/>
          <w:szCs w:val="28"/>
        </w:rPr>
        <w:t>血尿病因不明确；</w:t>
      </w:r>
    </w:p>
    <w:p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Times New Roman" w:hAnsi="Times New Roman" w:eastAsia="仿宋" w:cs="Times New Roman"/>
          <w:sz w:val="28"/>
          <w:szCs w:val="28"/>
        </w:rPr>
        <w:t>蛋白尿&gt;0.5g/天；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eastAsia="仿宋" w:cs="Times New Roman"/>
          <w:sz w:val="28"/>
          <w:szCs w:val="28"/>
        </w:rPr>
        <w:t>ACR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&gt;300mg/g</w:t>
      </w:r>
    </w:p>
    <w:p>
      <w:pPr>
        <w:pStyle w:val="9"/>
        <w:numPr>
          <w:ilvl w:val="-1"/>
          <w:numId w:val="0"/>
        </w:numPr>
        <w:ind w:left="560" w:firstLine="0" w:firstLineChars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ascii="Times New Roman" w:hAnsi="Times New Roman" w:eastAsia="仿宋" w:cs="Times New Roman"/>
          <w:sz w:val="28"/>
          <w:szCs w:val="28"/>
        </w:rPr>
        <w:t>疑似诊断继发性肾脏病/遗传性肾病/家族性肾脏病；</w:t>
      </w:r>
    </w:p>
    <w:p>
      <w:pPr>
        <w:pStyle w:val="9"/>
        <w:numPr>
          <w:ilvl w:val="-1"/>
          <w:numId w:val="0"/>
        </w:numPr>
        <w:ind w:left="560" w:firstLine="0" w:firstLineChars="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</w:t>
      </w:r>
      <w:r>
        <w:rPr>
          <w:rFonts w:ascii="Times New Roman" w:hAnsi="Times New Roman" w:eastAsia="仿宋" w:cs="Times New Roman"/>
          <w:sz w:val="28"/>
          <w:szCs w:val="28"/>
        </w:rPr>
        <w:t>肾脏疾病活动，需要调整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激素及免疫抑制剂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等重要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治疗方案；</w:t>
      </w:r>
    </w:p>
    <w:p>
      <w:pPr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⑤</w:t>
      </w:r>
      <w:r>
        <w:rPr>
          <w:rFonts w:ascii="仿宋" w:hAnsi="仿宋" w:eastAsia="仿宋" w:cs="仿宋"/>
          <w:color w:val="auto"/>
          <w:sz w:val="28"/>
          <w:szCs w:val="28"/>
        </w:rPr>
        <w:t>持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续一月以上血压控制不达标，即有蛋白尿的CKD患者，血压&gt;130/80mmHg或无蛋白尿患者，血压&gt;140/90mmHg；</w:t>
      </w:r>
    </w:p>
    <w:p>
      <w:pPr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⑥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eGFR下降速度&gt;4ml/min/年；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</w:rPr>
        <w:t>或Scr较基线呈持续升高趋势</w:t>
      </w:r>
    </w:p>
    <w:p>
      <w:pPr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⑦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各种原因导致的急性肾损伤或病情急性加重</w:t>
      </w:r>
    </w:p>
    <w:p>
      <w:pPr>
        <w:ind w:firstLine="560" w:firstLineChars="200"/>
        <w:rPr>
          <w:rFonts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⑧</w:t>
      </w:r>
      <w:r>
        <w:rPr>
          <w:rFonts w:ascii="Times New Roman" w:hAnsi="Times New Roman" w:eastAsia="仿宋" w:cs="Times New Roman"/>
          <w:color w:val="auto"/>
          <w:sz w:val="28"/>
          <w:szCs w:val="28"/>
        </w:rPr>
        <w:t>初次诊断的CKD3期及以上分期患者</w:t>
      </w:r>
    </w:p>
    <w:p>
      <w:pPr>
        <w:numPr>
          <w:ilvl w:val="0"/>
          <w:numId w:val="4"/>
        </w:num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CKD3-4期患者，经治疗3个月后，凡符合下列情况之一者：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①血红蛋白水平</w:t>
      </w:r>
      <w:r>
        <w:rPr>
          <w:rFonts w:ascii="Times New Roman" w:hAnsi="Times New Roman" w:eastAsia="仿宋" w:cs="Times New Roman"/>
          <w:sz w:val="28"/>
          <w:szCs w:val="28"/>
        </w:rPr>
        <w:t>&lt;110g/L</w:t>
      </w:r>
      <w:r>
        <w:rPr>
          <w:rFonts w:ascii="Times New Roman" w:hAnsi="Times New Roman" w:eastAsia="仿宋" w:cs="Times New Roman"/>
          <w:sz w:val="28"/>
          <w:szCs w:val="28"/>
        </w:rPr>
        <w:tab/>
      </w:r>
      <w:r>
        <w:rPr>
          <w:rFonts w:ascii="Times New Roman" w:hAnsi="Times New Roman" w:eastAsia="仿宋" w:cs="Times New Roman"/>
          <w:sz w:val="28"/>
          <w:szCs w:val="28"/>
        </w:rPr>
        <w:t>;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</w:t>
      </w:r>
      <w:r>
        <w:rPr>
          <w:rFonts w:ascii="Times New Roman" w:hAnsi="Times New Roman" w:eastAsia="仿宋" w:cs="Times New Roman"/>
          <w:sz w:val="28"/>
          <w:szCs w:val="28"/>
        </w:rPr>
        <w:t>血磷超出正常范围;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ascii="Times New Roman" w:hAnsi="Times New Roman" w:eastAsia="仿宋" w:cs="Times New Roman"/>
          <w:sz w:val="28"/>
          <w:szCs w:val="28"/>
        </w:rPr>
        <w:t>CKD3期患者全段甲状旁腺激素(iPTH)&gt;70pg/ml或CKD4期患者iPTH&gt;110pg/ml;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④</w:t>
      </w:r>
      <w:r>
        <w:rPr>
          <w:rFonts w:ascii="Times New Roman" w:hAnsi="Times New Roman" w:eastAsia="仿宋" w:cs="Times New Roman"/>
          <w:sz w:val="28"/>
          <w:szCs w:val="28"/>
        </w:rPr>
        <w:t>血钾&gt;</w:t>
      </w:r>
      <w:r>
        <w:rPr>
          <w:rFonts w:hint="eastAsia" w:ascii="Times New Roman" w:hAnsi="Times New Roman" w:eastAsia="仿宋" w:cs="Times New Roman"/>
          <w:sz w:val="28"/>
          <w:szCs w:val="28"/>
        </w:rPr>
        <w:t>5.3mmol/L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⑤</w:t>
      </w:r>
      <w:r>
        <w:rPr>
          <w:rFonts w:ascii="Times New Roman" w:hAnsi="Times New Roman" w:eastAsia="仿宋" w:cs="Times New Roman"/>
          <w:sz w:val="28"/>
          <w:szCs w:val="28"/>
        </w:rPr>
        <w:t>二氧化碳结合力&lt;22mmol/L;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⑥</w:t>
      </w:r>
      <w:r>
        <w:rPr>
          <w:rFonts w:ascii="Times New Roman" w:hAnsi="Times New Roman" w:eastAsia="仿宋" w:cs="Times New Roman"/>
          <w:sz w:val="28"/>
          <w:szCs w:val="28"/>
        </w:rPr>
        <w:t>血清白蛋白&lt;35g/L</w:t>
      </w:r>
    </w:p>
    <w:p>
      <w:pPr>
        <w:numPr>
          <w:ilvl w:val="0"/>
          <w:numId w:val="4"/>
        </w:num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CKD4-5期拟行肾脏替代治疗的准备。</w:t>
      </w:r>
    </w:p>
    <w:p>
      <w:pPr>
        <w:numPr>
          <w:ilvl w:val="0"/>
          <w:numId w:val="4"/>
        </w:num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维持期病情复发</w:t>
      </w:r>
      <w:r>
        <w:rPr>
          <w:rFonts w:hint="eastAsia" w:ascii="仿宋" w:hAnsi="仿宋" w:eastAsia="仿宋" w:cs="仿宋"/>
          <w:sz w:val="28"/>
          <w:szCs w:val="28"/>
        </w:rPr>
        <w:t>，或</w:t>
      </w:r>
      <w:r>
        <w:rPr>
          <w:rFonts w:ascii="仿宋" w:hAnsi="仿宋" w:eastAsia="仿宋" w:cs="仿宋"/>
          <w:sz w:val="28"/>
          <w:szCs w:val="28"/>
        </w:rPr>
        <w:t>出现严重并发症或合并症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如药物过敏、药物性肝炎、血压难以控制。</w:t>
      </w:r>
    </w:p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二、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上级医院向社区转回CKD患者标准（“下转诊”标准）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CKD病因明确，治疗方案明确，急性期治疗后病情稳定需维持治疗及随诊者。如原发性肾小球疾病缓解期，系统性疾病的维持治疗期。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肾脏疾病诊治方案制定后</w:t>
      </w:r>
      <w:r>
        <w:rPr>
          <w:rFonts w:hint="eastAsia" w:ascii="Times New Roman" w:hAnsi="Times New Roman" w:eastAsia="仿宋" w:cs="Times New Roman"/>
          <w:sz w:val="28"/>
          <w:szCs w:val="28"/>
        </w:rPr>
        <w:t>病情稳定者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单纯镜下血尿（尿沉渣镜检红细胞&gt;3/HP，</w:t>
      </w:r>
      <w:r>
        <w:rPr>
          <w:rFonts w:hint="eastAsia" w:ascii="Times New Roman" w:hAnsi="Times New Roman" w:eastAsia="仿宋" w:cs="Times New Roman"/>
          <w:sz w:val="28"/>
          <w:szCs w:val="28"/>
        </w:rPr>
        <w:t>非</w:t>
      </w:r>
      <w:r>
        <w:rPr>
          <w:rFonts w:ascii="Times New Roman" w:hAnsi="Times New Roman" w:eastAsia="仿宋" w:cs="Times New Roman"/>
          <w:sz w:val="28"/>
          <w:szCs w:val="28"/>
        </w:rPr>
        <w:t>变形红细胞为主，不合并蛋白尿，肾功能正常，肾脏影像学正常</w:t>
      </w:r>
      <w:r>
        <w:rPr>
          <w:rFonts w:hint="eastAsia" w:ascii="Times New Roman" w:hAnsi="Times New Roman" w:eastAsia="仿宋" w:cs="Times New Roman"/>
          <w:sz w:val="28"/>
          <w:szCs w:val="28"/>
        </w:rPr>
        <w:t>，除外其他系统性疾病导致的血尿</w:t>
      </w:r>
      <w:r>
        <w:rPr>
          <w:rFonts w:ascii="Times New Roman" w:hAnsi="Times New Roman" w:eastAsia="仿宋" w:cs="Times New Roman"/>
          <w:sz w:val="28"/>
          <w:szCs w:val="28"/>
        </w:rPr>
        <w:t>）。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CKD并发症控制达标者，适合社区门诊随访的患者。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CKD并发症控制未达标者，但其原因已查明，适合社区门诊调整用药方案者。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CKD5期并发症控制达标的腹膜透析患者。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诊断明确后无需特殊治疗的肾脏病患者。</w:t>
      </w:r>
    </w:p>
    <w:p>
      <w:pPr>
        <w:rPr>
          <w:rFonts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rPr>
          <w:rFonts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28"/>
          <w:szCs w:val="28"/>
        </w:rPr>
        <w:t>双向转诊标准2</w:t>
      </w:r>
    </w:p>
    <w:p>
      <w:pPr>
        <w:ind w:firstLine="281" w:firstLineChars="100"/>
        <w:rPr>
          <w:rFonts w:ascii="Times New Roman" w:hAnsi="Times New Roman" w:eastAsia="仿宋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0000FF"/>
          <w:sz w:val="28"/>
          <w:szCs w:val="28"/>
        </w:rPr>
        <w:t>参考根据GFR和蛋白尿的慢性肾脏病危险分层进行转诊</w:t>
      </w:r>
    </w:p>
    <w:tbl>
      <w:tblPr>
        <w:tblStyle w:val="5"/>
        <w:tblW w:w="0" w:type="auto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1604"/>
        <w:gridCol w:w="189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8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CKD分期</w:t>
            </w:r>
          </w:p>
        </w:tc>
        <w:tc>
          <w:tcPr>
            <w:tcW w:w="5167" w:type="dxa"/>
            <w:gridSpan w:val="3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尿白蛋白/肌酐比值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865" w:type="dxa"/>
            <w:vMerge w:val="continue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</w:p>
        </w:tc>
        <w:tc>
          <w:tcPr>
            <w:tcW w:w="1604" w:type="dxa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A1(&lt;30mg/g)</w:t>
            </w:r>
          </w:p>
        </w:tc>
        <w:tc>
          <w:tcPr>
            <w:tcW w:w="1890" w:type="dxa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A2(30mg-300/g)</w:t>
            </w:r>
          </w:p>
        </w:tc>
        <w:tc>
          <w:tcPr>
            <w:tcW w:w="1673" w:type="dxa"/>
          </w:tcPr>
          <w:p>
            <w:pP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A3(&gt;300mg/g)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G1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(GFR≥90ml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·min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·1.73m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-2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)</w:t>
            </w:r>
          </w:p>
        </w:tc>
        <w:tc>
          <w:tcPr>
            <w:tcW w:w="1604" w:type="dxa"/>
            <w:shd w:val="clear" w:color="auto" w:fill="4DD60C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低危</w:t>
            </w:r>
          </w:p>
        </w:tc>
        <w:tc>
          <w:tcPr>
            <w:tcW w:w="1890" w:type="dxa"/>
            <w:shd w:val="clear" w:color="auto" w:fill="FFFF00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中危</w:t>
            </w:r>
          </w:p>
        </w:tc>
        <w:tc>
          <w:tcPr>
            <w:tcW w:w="1673" w:type="dxa"/>
            <w:shd w:val="clear" w:color="auto" w:fill="FECC2B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高危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G2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(GFR60~89 ml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·min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·1.73m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-2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)</w:t>
            </w:r>
          </w:p>
        </w:tc>
        <w:tc>
          <w:tcPr>
            <w:tcW w:w="1604" w:type="dxa"/>
            <w:shd w:val="clear" w:color="auto" w:fill="4DD60C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低危</w:t>
            </w:r>
          </w:p>
        </w:tc>
        <w:tc>
          <w:tcPr>
            <w:tcW w:w="1890" w:type="dxa"/>
            <w:shd w:val="clear" w:color="auto" w:fill="FFFF00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中危</w:t>
            </w:r>
          </w:p>
        </w:tc>
        <w:tc>
          <w:tcPr>
            <w:tcW w:w="1673" w:type="dxa"/>
            <w:shd w:val="clear" w:color="auto" w:fill="FECC2B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高危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6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G3a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(GFR45~59 ml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·min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·1.73m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-2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)</w:t>
            </w:r>
          </w:p>
        </w:tc>
        <w:tc>
          <w:tcPr>
            <w:tcW w:w="1604" w:type="dxa"/>
            <w:shd w:val="clear" w:color="auto" w:fill="FFFF00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中危</w:t>
            </w:r>
          </w:p>
        </w:tc>
        <w:tc>
          <w:tcPr>
            <w:tcW w:w="1890" w:type="dxa"/>
            <w:shd w:val="clear" w:color="auto" w:fill="FFC000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高危</w:t>
            </w:r>
          </w:p>
        </w:tc>
        <w:tc>
          <w:tcPr>
            <w:tcW w:w="1673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G3b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(GFR 30~44 ml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·min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·1.73m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-2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)</w:t>
            </w:r>
          </w:p>
        </w:tc>
        <w:tc>
          <w:tcPr>
            <w:tcW w:w="1604" w:type="dxa"/>
            <w:shd w:val="clear" w:color="auto" w:fill="FECC2B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高危</w:t>
            </w:r>
          </w:p>
        </w:tc>
        <w:tc>
          <w:tcPr>
            <w:tcW w:w="1890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  <w:tc>
          <w:tcPr>
            <w:tcW w:w="1673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G4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(GFR15~29 ml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·min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·1.73m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-2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)</w:t>
            </w:r>
          </w:p>
        </w:tc>
        <w:tc>
          <w:tcPr>
            <w:tcW w:w="1604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  <w:tc>
          <w:tcPr>
            <w:tcW w:w="1890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  <w:tc>
          <w:tcPr>
            <w:tcW w:w="1673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865" w:type="dxa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FF"/>
                <w:sz w:val="24"/>
              </w:rPr>
              <w:t>G5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(GFR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&lt;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90ml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·min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-1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</w:rPr>
              <w:t>·1.73m</w:t>
            </w:r>
            <w:r>
              <w:rPr>
                <w:rFonts w:ascii="Times New Roman" w:hAnsi="Times New Roman" w:eastAsia="微软雅黑" w:cs="Times New Roman"/>
                <w:color w:val="0000FF"/>
                <w:sz w:val="24"/>
                <w:vertAlign w:val="superscript"/>
              </w:rPr>
              <w:t>-2</w:t>
            </w:r>
            <w:r>
              <w:rPr>
                <w:rFonts w:ascii="Times New Roman" w:hAnsi="Times New Roman" w:eastAsia="仿宋" w:cs="Times New Roman"/>
                <w:color w:val="0000FF"/>
                <w:sz w:val="24"/>
              </w:rPr>
              <w:t>)</w:t>
            </w:r>
          </w:p>
        </w:tc>
        <w:tc>
          <w:tcPr>
            <w:tcW w:w="1604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  <w:tc>
          <w:tcPr>
            <w:tcW w:w="1890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  <w:tc>
          <w:tcPr>
            <w:tcW w:w="1673" w:type="dxa"/>
            <w:shd w:val="clear" w:color="auto" w:fill="FC3A26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极高危</w:t>
            </w:r>
          </w:p>
        </w:tc>
      </w:tr>
    </w:tbl>
    <w:p/>
    <w:p>
      <w:pPr>
        <w:spacing w:line="360" w:lineRule="auto"/>
        <w:rPr>
          <w:rFonts w:ascii="Times New Roman" w:hAnsi="Times New Roman" w:eastAsia="仿宋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0000FF"/>
          <w:sz w:val="28"/>
          <w:szCs w:val="28"/>
        </w:rPr>
        <w:t>社区向上级医院转诊CKD患者标准（“上转诊”标准）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初诊时评估为高危或极高危患者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病情活动进展，危险分层增高一级及以上（包含低危转为中危）</w:t>
      </w:r>
    </w:p>
    <w:p>
      <w:pPr>
        <w:spacing w:line="360" w:lineRule="auto"/>
        <w:rPr>
          <w:rFonts w:ascii="Times New Roman" w:hAnsi="Times New Roman" w:eastAsia="仿宋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0000FF"/>
          <w:sz w:val="28"/>
          <w:szCs w:val="28"/>
        </w:rPr>
        <w:t>上级医院向社区转回CKD患者标准（“下转诊”标准）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经积极诊疗后，患者病情稳定且根据肾功能和蛋白尿水平，危险分层降低至低危或中危</w:t>
      </w:r>
    </w:p>
    <w:p>
      <w:pPr>
        <w:numPr>
          <w:ilvl w:val="0"/>
          <w:numId w:val="4"/>
        </w:numPr>
        <w:ind w:left="0" w:firstLine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高危、极高危</w:t>
      </w:r>
      <w:r>
        <w:rPr>
          <w:rFonts w:ascii="Times New Roman" w:hAnsi="Times New Roman" w:eastAsia="仿宋" w:cs="Times New Roman"/>
          <w:sz w:val="28"/>
          <w:szCs w:val="28"/>
        </w:rPr>
        <w:t>CKD并发症控制达标者，适合社区门诊随访的患者。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1E968"/>
    <w:multiLevelType w:val="singleLevel"/>
    <w:tmpl w:val="A491E9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FDED45"/>
    <w:multiLevelType w:val="singleLevel"/>
    <w:tmpl w:val="B4FDED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87344C3"/>
    <w:multiLevelType w:val="singleLevel"/>
    <w:tmpl w:val="E87344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3C4665D"/>
    <w:multiLevelType w:val="singleLevel"/>
    <w:tmpl w:val="13C4665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NzdjNWRiZjdjODA0OGI1YTJjZDY4ZDlkOTFhZTYifQ=="/>
  </w:docVars>
  <w:rsids>
    <w:rsidRoot w:val="1BE1489B"/>
    <w:rsid w:val="00090846"/>
    <w:rsid w:val="004B5A64"/>
    <w:rsid w:val="0071058A"/>
    <w:rsid w:val="00A94532"/>
    <w:rsid w:val="00BD13C1"/>
    <w:rsid w:val="00D17161"/>
    <w:rsid w:val="00E04F9B"/>
    <w:rsid w:val="04CD56ED"/>
    <w:rsid w:val="084F7CB3"/>
    <w:rsid w:val="1BE1489B"/>
    <w:rsid w:val="37867307"/>
    <w:rsid w:val="40613CD0"/>
    <w:rsid w:val="43CB7DE2"/>
    <w:rsid w:val="4C520320"/>
    <w:rsid w:val="57297794"/>
    <w:rsid w:val="5A541F84"/>
    <w:rsid w:val="5FB20F0C"/>
    <w:rsid w:val="64840776"/>
    <w:rsid w:val="6F104658"/>
    <w:rsid w:val="71AD37BF"/>
    <w:rsid w:val="734C0DB6"/>
    <w:rsid w:val="79A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ECCA-EBFF-4903-A104-E9948B199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</Words>
  <Characters>1561</Characters>
  <Lines>13</Lines>
  <Paragraphs>3</Paragraphs>
  <TotalTime>3</TotalTime>
  <ScaleCrop>false</ScaleCrop>
  <LinksUpToDate>false</LinksUpToDate>
  <CharactersWithSpaces>1831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2024-05-26T16:40:00Z</dcterms:created>
  <dc:creator>方艺</dc:creator>
  <cp:lastModifiedBy>方艺</cp:lastModifiedBy>
  <dcterms:modified xsi:type="dcterms:W3CDTF">2024-06-08T15:26:52Z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DED05FA8718C4F5EA1BCCAF4840EA25A_13</vt:lpwstr>
  </property>
</Properties>
</file>